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A" w:rsidRPr="00AA228A" w:rsidRDefault="0061097A" w:rsidP="00466BB7">
      <w:pPr>
        <w:jc w:val="both"/>
        <w:rPr>
          <w:b/>
        </w:rPr>
      </w:pPr>
      <w:bookmarkStart w:id="0" w:name="_GoBack"/>
      <w:bookmarkEnd w:id="0"/>
      <w:r w:rsidRPr="00AA228A">
        <w:rPr>
          <w:b/>
        </w:rPr>
        <w:t xml:space="preserve">UKUPNI MANJAK/VIŠAK OPĆEG PRORAČUNA U </w:t>
      </w:r>
      <w:r>
        <w:rPr>
          <w:b/>
        </w:rPr>
        <w:t>PRVOM POLUGODIŠTU</w:t>
      </w:r>
      <w:r w:rsidRPr="00AA228A">
        <w:rPr>
          <w:b/>
        </w:rPr>
        <w:t xml:space="preserve"> 201</w:t>
      </w:r>
      <w:r>
        <w:rPr>
          <w:b/>
        </w:rPr>
        <w:t>5</w:t>
      </w:r>
      <w:r w:rsidRPr="00AA228A">
        <w:rPr>
          <w:b/>
        </w:rPr>
        <w:t>. GODINE</w:t>
      </w:r>
    </w:p>
    <w:p w:rsidR="0061097A" w:rsidRPr="00AA228A" w:rsidRDefault="0061097A" w:rsidP="00D81393">
      <w:pPr>
        <w:jc w:val="both"/>
      </w:pPr>
    </w:p>
    <w:p w:rsidR="0061097A" w:rsidRDefault="0061097A" w:rsidP="00D81393">
      <w:pPr>
        <w:jc w:val="both"/>
      </w:pPr>
    </w:p>
    <w:p w:rsidR="0061097A" w:rsidRDefault="0061097A" w:rsidP="00D81393">
      <w:pPr>
        <w:jc w:val="both"/>
      </w:pPr>
      <w:r>
        <w:t>U skladu s ostvarenim prihodima i izvršenim rashodima, manjak proračuna konsolidirane opće države u prvom polugodištu 2015. godine, prema nacionalnoj metodologiji, ostvaren je u iznosu od 5,6 milijardi kuna ili 1,7% BDP-a. Manjak državnog proračuna iznosio je 7,5 milijardi kuna ili 2,3% BDP-a, što je 0,5 milijardi kuna manje u odnosu na isto razdoblje prethodne godine. Izvanproračunski korisnici državnog proračuna ostvarili su višak od 666 milijuna kuna ili 0,2 BDP-a. Proračun jedinica lokalne i područne (regionalne) samouprave, uključuje 570 jedinica koje su u zadanom roku dostavile financijske izvještaje te županijske uprave za ceste, zabilježio je višak od 1,2 milijarde kuna ili 0,4% BDP-a.</w:t>
      </w:r>
    </w:p>
    <w:p w:rsidR="0061097A" w:rsidRDefault="0061097A" w:rsidP="00D81393">
      <w:pPr>
        <w:jc w:val="both"/>
        <w:rPr>
          <w:highlight w:val="yellow"/>
        </w:rPr>
      </w:pPr>
    </w:p>
    <w:p w:rsidR="0061097A" w:rsidRPr="00AA228A" w:rsidRDefault="0061097A" w:rsidP="00D81393">
      <w:pPr>
        <w:jc w:val="both"/>
        <w:rPr>
          <w:highlight w:val="yellow"/>
        </w:rPr>
      </w:pPr>
    </w:p>
    <w:p w:rsidR="0061097A" w:rsidRPr="005B61CB" w:rsidRDefault="0061097A" w:rsidP="00806B23">
      <w:pPr>
        <w:spacing w:after="120"/>
        <w:jc w:val="both"/>
        <w:outlineLvl w:val="0"/>
        <w:rPr>
          <w:b/>
        </w:rPr>
      </w:pPr>
      <w:r w:rsidRPr="005B61CB">
        <w:rPr>
          <w:b/>
        </w:rPr>
        <w:t>Tablica 1: Ukupni manjak/višak državnog proračuna</w:t>
      </w:r>
    </w:p>
    <w:tbl>
      <w:tblPr>
        <w:tblW w:w="8860" w:type="dxa"/>
        <w:tblInd w:w="93" w:type="dxa"/>
        <w:tblLook w:val="00A0" w:firstRow="1" w:lastRow="0" w:firstColumn="1" w:lastColumn="0" w:noHBand="0" w:noVBand="0"/>
      </w:tblPr>
      <w:tblGrid>
        <w:gridCol w:w="4720"/>
        <w:gridCol w:w="1380"/>
        <w:gridCol w:w="1380"/>
        <w:gridCol w:w="1380"/>
      </w:tblGrid>
      <w:tr w:rsidR="0061097A" w:rsidRPr="00D31017" w:rsidTr="00D31017">
        <w:trPr>
          <w:trHeight w:val="36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i/>
                <w:iCs/>
                <w:sz w:val="20"/>
                <w:lang w:eastAsia="hr-HR"/>
              </w:rPr>
              <w:t>mil. HRK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1097A" w:rsidRPr="00D31017" w:rsidRDefault="0061097A" w:rsidP="00D31017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I. - VI. 2014.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1097A" w:rsidRPr="00D31017" w:rsidRDefault="0061097A" w:rsidP="00D31017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Plan 2015.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61097A" w:rsidRPr="00D31017" w:rsidRDefault="0061097A" w:rsidP="00D31017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I. - VI. 2015.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Prihodi (6+7)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55.917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106.434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50.954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Prihodi poslovanja (6)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55.613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105.265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50.739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Prihodi od prodaje nefinancijske imovine (7)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303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1.168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215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Rashodi (3+4)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63.870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118.975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58.410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Rashodi poslovanja (3)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63.164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115.714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57.541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Rashodi za nabavu nefinancijske imovine (4)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705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3.261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868</w:t>
            </w:r>
          </w:p>
        </w:tc>
      </w:tr>
      <w:tr w:rsidR="0061097A" w:rsidRPr="00D31017" w:rsidTr="00D31017">
        <w:trPr>
          <w:trHeight w:val="15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</w:tr>
      <w:tr w:rsidR="0061097A" w:rsidRPr="00D31017" w:rsidTr="00D31017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Ukupni manjak/višak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-7.953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-12.541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-7.456</w:t>
            </w:r>
          </w:p>
        </w:tc>
      </w:tr>
      <w:tr w:rsidR="0061097A" w:rsidRPr="00D31017" w:rsidTr="00D31017">
        <w:trPr>
          <w:trHeight w:val="36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% BDP-a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-2,4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-3,8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-2,3</w:t>
            </w:r>
          </w:p>
        </w:tc>
      </w:tr>
    </w:tbl>
    <w:p w:rsidR="0061097A" w:rsidRPr="005B61CB" w:rsidRDefault="0061097A" w:rsidP="00D81393">
      <w:pPr>
        <w:jc w:val="both"/>
        <w:rPr>
          <w:b/>
        </w:rPr>
      </w:pPr>
    </w:p>
    <w:p w:rsidR="0061097A" w:rsidRPr="00AA228A" w:rsidRDefault="0061097A" w:rsidP="00D81393">
      <w:pPr>
        <w:rPr>
          <w:i/>
          <w:sz w:val="20"/>
          <w:highlight w:val="yellow"/>
        </w:rPr>
      </w:pPr>
    </w:p>
    <w:p w:rsidR="0061097A" w:rsidRPr="005B61CB" w:rsidRDefault="0061097A" w:rsidP="00806B23">
      <w:pPr>
        <w:spacing w:after="120"/>
        <w:jc w:val="both"/>
        <w:outlineLvl w:val="0"/>
        <w:rPr>
          <w:b/>
        </w:rPr>
      </w:pPr>
      <w:r w:rsidRPr="005B61CB">
        <w:rPr>
          <w:b/>
        </w:rPr>
        <w:t>Tablica 2: Ukupni manjak/višak proračuna općeg proračuna</w:t>
      </w:r>
    </w:p>
    <w:tbl>
      <w:tblPr>
        <w:tblW w:w="8860" w:type="dxa"/>
        <w:tblInd w:w="93" w:type="dxa"/>
        <w:tblLook w:val="00A0" w:firstRow="1" w:lastRow="0" w:firstColumn="1" w:lastColumn="0" w:noHBand="0" w:noVBand="0"/>
      </w:tblPr>
      <w:tblGrid>
        <w:gridCol w:w="4720"/>
        <w:gridCol w:w="1380"/>
        <w:gridCol w:w="1380"/>
        <w:gridCol w:w="1380"/>
      </w:tblGrid>
      <w:tr w:rsidR="0061097A" w:rsidRPr="00D31017" w:rsidTr="00D31017">
        <w:trPr>
          <w:trHeight w:val="36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i/>
                <w:iCs/>
                <w:sz w:val="20"/>
                <w:lang w:eastAsia="hr-HR"/>
              </w:rPr>
              <w:t>mil. HRK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61097A" w:rsidRPr="00D31017" w:rsidRDefault="0061097A" w:rsidP="00D31017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I. - VI. 2014.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61097A" w:rsidRPr="00D31017" w:rsidRDefault="0061097A" w:rsidP="00D31017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Plan 2015.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</w:tcPr>
          <w:p w:rsidR="0061097A" w:rsidRPr="00D31017" w:rsidRDefault="0061097A" w:rsidP="00D31017">
            <w:pPr>
              <w:jc w:val="center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I. - VI. 2015.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Ukupni manjak/višak, državni proračun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-7.953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-12.541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-7.456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% BDP-a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-2,4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-3,8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-2,3</w:t>
            </w:r>
          </w:p>
        </w:tc>
      </w:tr>
      <w:tr w:rsidR="0061097A" w:rsidRPr="00D31017" w:rsidTr="00D31017">
        <w:trPr>
          <w:trHeight w:val="18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Ukupni manjak/višak, izvanproračunski korisnici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255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666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% BDP-a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0,1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0,2</w:t>
            </w:r>
          </w:p>
        </w:tc>
      </w:tr>
      <w:tr w:rsidR="0061097A" w:rsidRPr="00D31017" w:rsidTr="00D31017">
        <w:trPr>
          <w:trHeight w:val="18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Ukupni manjak/višak, jedinice lokalne države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1.008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-301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1.176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% BDP-a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-0,1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0,4</w:t>
            </w:r>
          </w:p>
        </w:tc>
      </w:tr>
      <w:tr w:rsidR="0061097A" w:rsidRPr="00D31017" w:rsidTr="00D31017">
        <w:trPr>
          <w:trHeight w:val="18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</w:tr>
      <w:tr w:rsidR="0061097A" w:rsidRPr="00D31017" w:rsidTr="00D31017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Ukupni manjak/višak proračuna opće države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-6.690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-12.707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b/>
                <w:b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b/>
                <w:bCs/>
                <w:sz w:val="20"/>
                <w:lang w:eastAsia="hr-HR"/>
              </w:rPr>
              <w:t>-5.614</w:t>
            </w:r>
          </w:p>
        </w:tc>
      </w:tr>
      <w:tr w:rsidR="0061097A" w:rsidRPr="00D31017" w:rsidTr="00D31017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% BDP-a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-2,0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-3,8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jc w:val="right"/>
              <w:rPr>
                <w:rFonts w:ascii="Arial" w:hAnsi="Arial" w:cs="Arial"/>
                <w:i/>
                <w:iCs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i/>
                <w:iCs/>
                <w:sz w:val="20"/>
                <w:lang w:eastAsia="hr-HR"/>
              </w:rPr>
              <w:t>-1,7</w:t>
            </w:r>
          </w:p>
        </w:tc>
      </w:tr>
      <w:tr w:rsidR="0061097A" w:rsidRPr="00D31017" w:rsidTr="00D31017">
        <w:trPr>
          <w:trHeight w:val="1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20"/>
                <w:lang w:eastAsia="hr-HR"/>
              </w:rPr>
            </w:pPr>
            <w:r w:rsidRPr="00D31017">
              <w:rPr>
                <w:rFonts w:ascii="Arial" w:hAnsi="Arial" w:cs="Arial"/>
                <w:sz w:val="20"/>
                <w:lang w:eastAsia="hr-HR"/>
              </w:rPr>
              <w:t> </w:t>
            </w:r>
          </w:p>
        </w:tc>
      </w:tr>
      <w:tr w:rsidR="0061097A" w:rsidRPr="00D31017" w:rsidTr="00D31017">
        <w:trPr>
          <w:trHeight w:val="735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1097A" w:rsidRPr="00D31017" w:rsidRDefault="0061097A" w:rsidP="00D31017">
            <w:pPr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D31017">
              <w:rPr>
                <w:rFonts w:ascii="Arial" w:hAnsi="Arial" w:cs="Arial"/>
                <w:sz w:val="16"/>
                <w:szCs w:val="16"/>
                <w:lang w:eastAsia="hr-HR"/>
              </w:rPr>
              <w:t xml:space="preserve">Napomena: U promatranom razdoblju 2015. obuhvaćeno je 570 jedinica lokalne i područne (regionalne) samouprave (6 jedinica lokalne samouprave nisu u zadanom roku dostavile financijske izvještaje). </w:t>
            </w:r>
          </w:p>
        </w:tc>
      </w:tr>
    </w:tbl>
    <w:p w:rsidR="0061097A" w:rsidRPr="005B61CB" w:rsidRDefault="0061097A" w:rsidP="00466BB7">
      <w:pPr>
        <w:jc w:val="both"/>
      </w:pPr>
    </w:p>
    <w:sectPr w:rsidR="0061097A" w:rsidRPr="005B61CB" w:rsidSect="001B1C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6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7A" w:rsidRDefault="0061097A">
      <w:r>
        <w:separator/>
      </w:r>
    </w:p>
  </w:endnote>
  <w:endnote w:type="continuationSeparator" w:id="0">
    <w:p w:rsidR="0061097A" w:rsidRDefault="0061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7A" w:rsidRDefault="0061097A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97A" w:rsidRDefault="006109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7A" w:rsidRDefault="0061097A" w:rsidP="00D77D0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B1C24">
      <w:rPr>
        <w:rStyle w:val="Brojstranice"/>
        <w:noProof/>
      </w:rPr>
      <w:t>606</w:t>
    </w:r>
    <w:r>
      <w:rPr>
        <w:rStyle w:val="Brojstranice"/>
      </w:rPr>
      <w:fldChar w:fldCharType="end"/>
    </w:r>
  </w:p>
  <w:p w:rsidR="0061097A" w:rsidRDefault="00610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7A" w:rsidRDefault="0061097A">
      <w:r>
        <w:separator/>
      </w:r>
    </w:p>
  </w:footnote>
  <w:footnote w:type="continuationSeparator" w:id="0">
    <w:p w:rsidR="0061097A" w:rsidRDefault="00610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BB7"/>
    <w:rsid w:val="00060DE2"/>
    <w:rsid w:val="000851E5"/>
    <w:rsid w:val="001B1C24"/>
    <w:rsid w:val="001B6D18"/>
    <w:rsid w:val="001D0D95"/>
    <w:rsid w:val="001D438B"/>
    <w:rsid w:val="001D6D03"/>
    <w:rsid w:val="00201959"/>
    <w:rsid w:val="00217EB4"/>
    <w:rsid w:val="00223755"/>
    <w:rsid w:val="002A1F22"/>
    <w:rsid w:val="002F437A"/>
    <w:rsid w:val="00306BA3"/>
    <w:rsid w:val="003F5CE4"/>
    <w:rsid w:val="00426360"/>
    <w:rsid w:val="00466BB7"/>
    <w:rsid w:val="004B4D06"/>
    <w:rsid w:val="004C3ECC"/>
    <w:rsid w:val="004F2564"/>
    <w:rsid w:val="004F7A88"/>
    <w:rsid w:val="005B61CB"/>
    <w:rsid w:val="0061097A"/>
    <w:rsid w:val="00630505"/>
    <w:rsid w:val="00640A3D"/>
    <w:rsid w:val="00650883"/>
    <w:rsid w:val="006F1639"/>
    <w:rsid w:val="007038CD"/>
    <w:rsid w:val="00736710"/>
    <w:rsid w:val="00743397"/>
    <w:rsid w:val="007A481B"/>
    <w:rsid w:val="007B31D1"/>
    <w:rsid w:val="00806B23"/>
    <w:rsid w:val="00866EBA"/>
    <w:rsid w:val="00881B4E"/>
    <w:rsid w:val="008B1674"/>
    <w:rsid w:val="008C1BBA"/>
    <w:rsid w:val="008E0D8F"/>
    <w:rsid w:val="008E4B10"/>
    <w:rsid w:val="00913868"/>
    <w:rsid w:val="00924E00"/>
    <w:rsid w:val="009501DD"/>
    <w:rsid w:val="009C76DD"/>
    <w:rsid w:val="009E4681"/>
    <w:rsid w:val="00A838EB"/>
    <w:rsid w:val="00AA228A"/>
    <w:rsid w:val="00B16544"/>
    <w:rsid w:val="00B6332D"/>
    <w:rsid w:val="00BC0718"/>
    <w:rsid w:val="00BC2F9A"/>
    <w:rsid w:val="00C05CB8"/>
    <w:rsid w:val="00C53C52"/>
    <w:rsid w:val="00CA72C4"/>
    <w:rsid w:val="00CE7BFB"/>
    <w:rsid w:val="00D31017"/>
    <w:rsid w:val="00D70455"/>
    <w:rsid w:val="00D77D0F"/>
    <w:rsid w:val="00D81393"/>
    <w:rsid w:val="00D96984"/>
    <w:rsid w:val="00E13421"/>
    <w:rsid w:val="00E91800"/>
    <w:rsid w:val="00EA5E39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B7"/>
    <w:rPr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36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D58"/>
    <w:rPr>
      <w:sz w:val="0"/>
      <w:szCs w:val="0"/>
      <w:lang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9E4681"/>
    <w:pPr>
      <w:shd w:val="clear" w:color="auto" w:fill="000080"/>
    </w:pPr>
    <w:rPr>
      <w:rFonts w:ascii="Tahoma" w:hAnsi="Tahoma" w:cs="Tahoma"/>
      <w:sz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46D58"/>
    <w:rPr>
      <w:sz w:val="0"/>
      <w:szCs w:val="0"/>
      <w:lang w:eastAsia="en-US"/>
    </w:rPr>
  </w:style>
  <w:style w:type="paragraph" w:styleId="Podnoje">
    <w:name w:val="footer"/>
    <w:basedOn w:val="Normal"/>
    <w:link w:val="PodnojeChar"/>
    <w:uiPriority w:val="99"/>
    <w:rsid w:val="00B165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6D58"/>
    <w:rPr>
      <w:sz w:val="24"/>
      <w:szCs w:val="20"/>
      <w:lang w:eastAsia="en-US"/>
    </w:rPr>
  </w:style>
  <w:style w:type="character" w:styleId="Brojstranice">
    <w:name w:val="page number"/>
    <w:basedOn w:val="Zadanifontodlomka"/>
    <w:uiPriority w:val="99"/>
    <w:rsid w:val="00B165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Ministarstvo Financija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UKUPNI MANJAK/VIŠAK DRŽAVNOG PRORAČUNA U PRVOJ POLOVICI 2009</dc:title>
  <dc:subject/>
  <dc:creator>Andrea Prusina</dc:creator>
  <cp:keywords/>
  <dc:description/>
  <cp:lastModifiedBy>mfkor</cp:lastModifiedBy>
  <cp:revision>4</cp:revision>
  <cp:lastPrinted>2015-09-07T07:36:00Z</cp:lastPrinted>
  <dcterms:created xsi:type="dcterms:W3CDTF">2015-09-07T07:42:00Z</dcterms:created>
  <dcterms:modified xsi:type="dcterms:W3CDTF">2015-09-07T12:28:00Z</dcterms:modified>
</cp:coreProperties>
</file>